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C6" w:rsidRPr="005C6822" w:rsidRDefault="00337378" w:rsidP="005C68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МЕТОДИКА</w:t>
      </w:r>
    </w:p>
    <w:p w:rsidR="00FD1AC6" w:rsidRPr="005C6822" w:rsidRDefault="00FD1AC6" w:rsidP="005C68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РАСЧЕТА И РАСПРЕДЕЛЕНИЯ ДОТАЦИЙ НА ВЫРАВНИВАНИЕ</w:t>
      </w:r>
    </w:p>
    <w:p w:rsidR="00FD1AC6" w:rsidRPr="005C6822" w:rsidRDefault="00FD1AC6" w:rsidP="005C68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БЮДЖЕТНОЙ ОБЕСПЕЧЕННОСТИ МУНИЦИПАЛЬНЫХ РАЙОНОВ</w:t>
      </w:r>
    </w:p>
    <w:p w:rsidR="00FD1AC6" w:rsidRPr="005C6822" w:rsidRDefault="00FD1AC6" w:rsidP="005C68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(ГОРОДСКИХ ОКРУГОВ)</w:t>
      </w:r>
    </w:p>
    <w:p w:rsidR="00FD1AC6" w:rsidRPr="005C6822" w:rsidRDefault="00FD1AC6" w:rsidP="005C68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D1AC6" w:rsidRPr="005C6822" w:rsidRDefault="00FD1AC6" w:rsidP="005C68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5C6822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5C6822">
        <w:rPr>
          <w:rFonts w:ascii="Times New Roman" w:hAnsi="Times New Roman" w:cs="Times New Roman"/>
          <w:sz w:val="28"/>
          <w:szCs w:val="28"/>
        </w:rPr>
        <w:t xml:space="preserve"> Республики Тыва от 09.12.2011 N 1029 ВХ-1)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Настоящая методика определяет расчетный объем дотации на выравнивание бюджетной обеспеченности бюджетов городских округов и консолидированных бюджетов муниципальных районов республики (далее - Методика).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Основные понятия, используемые в Методике: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 xml:space="preserve">налоговый потенциал муниципального района (городского округа) - это оценка доходов, которые могут быть мобилизованы в бюджет муниципального района (городского округа) по основным налоговым источникам, закрепленным за бюджетом муниципального района (городского округа). К основным налоговым источникам относятся налоги, составляющие наибольший удельный вес в доходах бюджетов муниципальных районов (городских округов), а также налоговая </w:t>
      </w:r>
      <w:proofErr w:type="gramStart"/>
      <w:r w:rsidRPr="005C6822">
        <w:rPr>
          <w:rFonts w:ascii="Times New Roman" w:hAnsi="Times New Roman" w:cs="Times New Roman"/>
          <w:sz w:val="28"/>
          <w:szCs w:val="28"/>
        </w:rPr>
        <w:t>база</w:t>
      </w:r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которых наиболее равномерно распределена по территориям муниципальных районов (городских округов);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индекс налогового потенциала муниципального района (городского округа) - это отношение налогового потенциала муниципального района (городского округа) в расчете на одного жителя к аналогичному показателю в среднем по всем муниципальным образованиям;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822">
        <w:rPr>
          <w:rFonts w:ascii="Times New Roman" w:hAnsi="Times New Roman" w:cs="Times New Roman"/>
          <w:sz w:val="28"/>
          <w:szCs w:val="28"/>
        </w:rPr>
        <w:t>индекс бюджетных расходов муниципального района (городского округа) показывает, на сколько больше (меньше) средств бюджета муниципального района (городского округа) в расчете на душу населения по сравнению со средним уровнем по всем муниципальным районам (городским округам) необходимо затратить для осуществления полномочий по решению вопросов местного значения муниципального района (городского округа) с учетом различий в структуре населения, социально-экономических, климатических, географических и иных объективных</w:t>
      </w:r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факторов и условий, влияющих на стоимость предоставления бюджетных услуг в расчете на одного жителя;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бюджетная обеспеченность муниципального района (городского округа) - это отношение индекса налогового потенциала к индексу бюджетных расходов муниципального района (городского округа).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 xml:space="preserve">Бюджетная обеспеченность в абсолютном значении рассчитывается по показателям в среднем по муниципальным районам (городским округам) одного типа с учетом структуры населения, социально-экономических, </w:t>
      </w:r>
      <w:r w:rsidRPr="005C6822">
        <w:rPr>
          <w:rFonts w:ascii="Times New Roman" w:hAnsi="Times New Roman" w:cs="Times New Roman"/>
          <w:sz w:val="28"/>
          <w:szCs w:val="28"/>
        </w:rPr>
        <w:lastRenderedPageBreak/>
        <w:t>географических, климатических и иных объективных факторов и условий, влияющих на стоимость предоставления одного и того же объема бюджетных услуг в расчете на одного жителя.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Определение уровня расчетной бюджетной обеспеченности муниципальных образований производится по единой методике, обеспечивающей сопоставимость доходов муниципальных образований, а также перечня бюджетных услуг и показателей, характеризующих факторы и условия, влияющие на стоимость их предоставления в расчете на одного жителя.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 муниципального образования с учетом дотаций из регионального фонда финансовой поддержки муниципальных образований не может превышать уровень расчетной бюджетной обеспеченности с учетом соответствующих дотаций иного муниципального образования, которое до распределения указанных дотаций имело более высокий уровень расчетной бюджетной обеспеченности.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Расчет финансовой помощи местным бюджетам осуществляется на основе определения доходных возможностей местных бюджетов на единых принципах по разграничению доходов и закреплению за бюджетами муниципальных образований единых нормативов отчислений налогов и сборов и оценки объема расходных обязательств муниципальных образований в соответствии с закрепленными полномочиями.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I. Определение расчетного объема дотации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1. Расчетный объем дотации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5C682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>) бюджету городского округа (консолидированному бюджету муниципального района) республики определяется по следующей формуле:</w:t>
      </w:r>
    </w:p>
    <w:p w:rsidR="005C6822" w:rsidRPr="005C6822" w:rsidRDefault="005C6822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РФФП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кр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'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SUM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кр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'</m:t>
                </m:r>
              </m:sup>
            </m:sSubSup>
          </m:den>
        </m:f>
      </m:oMath>
      <w:r w:rsidR="005C6822" w:rsidRPr="005C682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="005C6822" w:rsidRPr="005C6822">
        <w:rPr>
          <w:rFonts w:ascii="Times New Roman" w:hAnsi="Times New Roman" w:cs="Times New Roman"/>
          <w:sz w:val="28"/>
          <w:szCs w:val="28"/>
          <w:lang w:val="en-US"/>
        </w:rPr>
        <w:t>(1)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РФФП - общий объем регионального фонда финансовой поддержки муниципальных районов (городских округов) на очередной финансовый год;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БО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– критерий выравнивания финансовых возможностей муниципальных районов (городских округов) до выравнивания в планируемом году;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БО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расчетная бюджетная обеспеченность до выравнивания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в планируемом году;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6" style="width:18pt;height:19.5pt" coordsize="" o:spt="100" adj="0,,0" path="" filled="f" stroked="f">
            <v:stroke joinstyle="miter"/>
            <v:imagedata r:id="rId6" o:title="base_23986_24858_19"/>
            <v:formulas/>
            <v:path o:connecttype="segments"/>
          </v:shape>
        </w:pict>
      </w:r>
      <w:r w:rsidRPr="005C6822">
        <w:rPr>
          <w:rFonts w:ascii="Times New Roman" w:hAnsi="Times New Roman" w:cs="Times New Roman"/>
          <w:sz w:val="28"/>
          <w:szCs w:val="28"/>
        </w:rPr>
        <w:t xml:space="preserve"> - численность условных потребителей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t - количество муниципальных образований, участвующих в распределении регионального фонда финансовой поддержки.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 xml:space="preserve">Для муниципальных образований, расчетная бюджетная обеспеченность </w:t>
      </w:r>
      <w:r w:rsidRPr="005C6822">
        <w:rPr>
          <w:rFonts w:ascii="Times New Roman" w:hAnsi="Times New Roman" w:cs="Times New Roman"/>
          <w:sz w:val="28"/>
          <w:szCs w:val="28"/>
        </w:rPr>
        <w:lastRenderedPageBreak/>
        <w:t>которых в планируемом году до выравнивания превышает двукратный уровень средней расчетной бюджетной обеспеченности муниципальных образований республики до выравнивания, расчетный объем дотации устанавливается равным нулю.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2. Общий объем регионального фонда финансовой поддержки муниципальных районов (городских округов) (РФФП) определяется на очередной финансовый год по следующей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РФФП = Пор - (НН + Д + Ц) (2),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Пор - прогнозируемый на очередной финансовый год объем расходов на исполнение вопросов местного значения консолидированных бюджетов муниципальных районов (городских округов),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муниципальных районов (городских округов);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НН - прогноз налоговых и неналоговых доходов на очередной финансовый год консолидированных бюджетов муниципальных районов и городских округов Республики Тыва,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муниципальных районов (городских округов);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Д - прогнозируемый дефицит консолидированных бюджетов муниципальных районов и городских округов Республики Тыва на очередной финансовый год,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муниципальных районов (городских округов), в соответствии с требованиями Бюджетного кодекса Российской Федерации;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822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субсидии и субвенции, предоставляемые из республиканского бюджета бюджетам муниципальных районов (городских округов),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муниципальных районов (городских округов).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Объем дотаций на выравнивание бюджетной обеспеченности муниципальных районов (городских округов) утверждается законом Республики Тыва о республиканском бюджете Республики Тыва.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3. Показатель "</w:t>
      </w:r>
      <w:r w:rsidR="005C6822">
        <w:rPr>
          <w:rFonts w:ascii="Times New Roman" w:hAnsi="Times New Roman" w:cs="Times New Roman"/>
          <w:sz w:val="28"/>
          <w:szCs w:val="28"/>
        </w:rPr>
        <w:t>критерии выравнивания финансовых возможностей</w:t>
      </w:r>
      <w:r w:rsidRPr="005C6822">
        <w:rPr>
          <w:rFonts w:ascii="Times New Roman" w:hAnsi="Times New Roman" w:cs="Times New Roman"/>
          <w:sz w:val="28"/>
          <w:szCs w:val="28"/>
        </w:rPr>
        <w:t>" до выравнивания в планируемом году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БО</w:t>
      </w:r>
      <w:r w:rsidR="005C682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БО</w:t>
      </w:r>
      <w:r w:rsidR="005C682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= Дох / N (3),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lastRenderedPageBreak/>
        <w:t>Дох - прогноз общего объема суммарных налоговых и неналоговых доходов консолидированных бюджетов муниципальных районов (городских округов) республики на планируемый год, определяемый на основе прогноза доходов консолидированного бюджета республики с применением единых нормативов отчислений от регулирующих налогов, установленных федеральным и республиканским законодательствами;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N - численность постоянного населения в целом по республике на 1 января текущего финансового года.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4. Показатель "расчетная бюджетная обеспеченность муниципального района (городского округа) до выравнивания"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БО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БО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ИНП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ИБР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(4),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индекс налогового потенциала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5. Показатель "численность условных потребителей муниципального района (городского округа</w:t>
      </w:r>
      <w:proofErr w:type="gramStart"/>
      <w:r w:rsidRPr="005C6822">
        <w:rPr>
          <w:rFonts w:ascii="Times New Roman" w:hAnsi="Times New Roman" w:cs="Times New Roman"/>
          <w:sz w:val="28"/>
          <w:szCs w:val="28"/>
        </w:rPr>
        <w:t>)" (</w:t>
      </w:r>
      <w:r w:rsidRPr="005C6822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7" style="width:18pt;height:19.5pt" coordsize="" o:spt="100" adj="0,,0" path="" filled="f" stroked="f">
            <v:stroke joinstyle="miter"/>
            <v:imagedata r:id="rId7" o:title="base_23986_24858_20"/>
            <v:formulas/>
            <v:path o:connecttype="segments"/>
          </v:shape>
        </w:pict>
      </w:r>
      <w:r w:rsidRPr="005C682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C6822">
        <w:rPr>
          <w:rFonts w:ascii="Times New Roman" w:hAnsi="Times New Roman" w:cs="Times New Roman"/>
          <w:sz w:val="28"/>
          <w:szCs w:val="28"/>
        </w:rPr>
        <w:t>определяется по следующей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8" style="width:85.5pt;height:19.5pt" coordsize="" o:spt="100" adj="0,,0" path="" filled="f" stroked="f">
            <v:stroke joinstyle="miter"/>
            <v:imagedata r:id="rId8" o:title="base_23986_24858_21"/>
            <v:formulas/>
            <v:path o:connecttype="segments"/>
          </v:shape>
        </w:pict>
      </w:r>
      <w:r w:rsidRPr="005C6822">
        <w:rPr>
          <w:rFonts w:ascii="Times New Roman" w:hAnsi="Times New Roman" w:cs="Times New Roman"/>
          <w:sz w:val="28"/>
          <w:szCs w:val="28"/>
        </w:rPr>
        <w:t xml:space="preserve"> (5),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N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населения, проживающего на территории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1 января текущего финансового года.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II. Расчет индекса налогового потенциала</w:t>
      </w:r>
    </w:p>
    <w:p w:rsidR="00FD1AC6" w:rsidRPr="005C6822" w:rsidRDefault="00FD1AC6" w:rsidP="005C68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6. Индекс налогового потенциала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>) муниципального района (городского округа) рассчитывается по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НП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N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>) / (НП / N) (6),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НП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расчетные налоговые доходы консолидированного бюджета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в планируемом финансовом году;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НП - суммарные расчетные налоговые доходы консолидированных бюджетов всех муниципальных районов (городских округов) в планируемом финансовом году.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 xml:space="preserve">Расчетные налоговые доходы муниципальных районов (городских </w:t>
      </w:r>
      <w:r w:rsidRPr="005C6822">
        <w:rPr>
          <w:rFonts w:ascii="Times New Roman" w:hAnsi="Times New Roman" w:cs="Times New Roman"/>
          <w:sz w:val="28"/>
          <w:szCs w:val="28"/>
        </w:rPr>
        <w:lastRenderedPageBreak/>
        <w:t>округов) - оценка доходов, которые могут быть собраны в бюджет муниципального образования по налоговым источникам, закрепленным Бюджетным кодексом Российской Федерации и бюджетным законодательством Республики Тыва за местными бюджетами.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Рассчитанные оценки налогового потенциала используются только для расчета индекса налогового потенциала и сопоставления бюджетной обеспеченности в целях межбюджетного регулирования и выравнивания.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Расчет потенциала доходов на плановый период производится аналогично расчету на очередной финансовый год путем их последующей корректировки с учетом изменения макроэкономических показателей социально-экономического развития Российской Федерации при формировании проекта республиканского бюджета на очередной финансовый год.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III. Расчет дополнительных (дифференцированных) нормативов</w:t>
      </w:r>
    </w:p>
    <w:p w:rsidR="00FD1AC6" w:rsidRPr="005C6822" w:rsidRDefault="00FD1AC6" w:rsidP="005C68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отчислений от налога на доходы физических лиц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7. В случае принятия решения о замене дотаций (части дотаций) на выравнивание бюджетной обеспеченности муниципальных районов (городских округов) дополнительными (дифференцированными) нормативами отчислений от налога на доходы физических лиц указанный дополнительный (дифференцированный) норматив рассчитывается по следующей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position w:val="-30"/>
          <w:sz w:val="28"/>
          <w:szCs w:val="28"/>
        </w:rPr>
        <w:pict>
          <v:shape id="_x0000_i1029" style="width:115.5pt;height:37.5pt" coordsize="" o:spt="100" adj="0,,0" path="" filled="f" stroked="f">
            <v:stroke joinstyle="miter"/>
            <v:imagedata r:id="rId9" o:title="base_23986_24858_22"/>
            <v:formulas/>
            <v:path o:connecttype="segments"/>
          </v:shape>
        </w:pict>
      </w:r>
      <w:r w:rsidRPr="005C6822">
        <w:rPr>
          <w:rFonts w:ascii="Times New Roman" w:hAnsi="Times New Roman" w:cs="Times New Roman"/>
          <w:sz w:val="28"/>
          <w:szCs w:val="28"/>
        </w:rPr>
        <w:t xml:space="preserve"> (7),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ДН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дополнительный норматив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муниципальному району (городскому округу) от налога на доходы физических лиц, полностью или частично заменяющего дотации на выравнивание бюджетной обеспеченности;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C682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C6822">
        <w:rPr>
          <w:rFonts w:ascii="Times New Roman" w:hAnsi="Times New Roman" w:cs="Times New Roman"/>
          <w:sz w:val="28"/>
          <w:szCs w:val="28"/>
        </w:rPr>
        <w:t>m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- планируемый объем дотации на выравнивание бюджетной обеспеченности муниципальному району (городскому округу), подлежащий замене дополнительным нормативом отчислений от налога на доходы физических лиц;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НДФЛ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прогнозируемый объем поступлений от налога на доходы физических лиц, подлежащий зачислению в консолидированный бюджет Республики Тыва по территории соответствующего муниципального района (городского округа).</w:t>
      </w:r>
    </w:p>
    <w:p w:rsidR="00FD1AC6" w:rsidRPr="005C6822" w:rsidRDefault="00FD1AC6" w:rsidP="005C68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IV. Расчет индекса бюджетных расходов</w:t>
      </w:r>
    </w:p>
    <w:p w:rsidR="00FD1AC6" w:rsidRPr="005C6822" w:rsidRDefault="00FD1AC6" w:rsidP="005C68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8. Индекс бюджетных расходов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>) муниципального района (городского округа) рассчитывается по формуле: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РБ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N</w:t>
      </w:r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>) / (РБ / N) (8),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где: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822">
        <w:rPr>
          <w:rFonts w:ascii="Times New Roman" w:hAnsi="Times New Roman" w:cs="Times New Roman"/>
          <w:sz w:val="28"/>
          <w:szCs w:val="28"/>
        </w:rPr>
        <w:t>РБ</w:t>
      </w:r>
      <w:proofErr w:type="gramStart"/>
      <w:r w:rsidRPr="005C68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C6822">
        <w:rPr>
          <w:rFonts w:ascii="Times New Roman" w:hAnsi="Times New Roman" w:cs="Times New Roman"/>
          <w:sz w:val="28"/>
          <w:szCs w:val="28"/>
        </w:rPr>
        <w:t xml:space="preserve"> - расчетные расходы бюджета i-</w:t>
      </w:r>
      <w:proofErr w:type="spellStart"/>
      <w:r w:rsidRPr="005C68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C6822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в планируемом финансовом году;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РБ - расчетные расходы бюджетов всех муниципальных районов (городских округов) в планируемом финансовом году.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822">
        <w:rPr>
          <w:rFonts w:ascii="Times New Roman" w:hAnsi="Times New Roman" w:cs="Times New Roman"/>
          <w:sz w:val="28"/>
          <w:szCs w:val="28"/>
        </w:rPr>
        <w:t>Расчетные расходы бюджета муниципального района (городского округа) - обеспеченность бюджетными средствами в расчете на душу населения, необходимыми для осуществления полномочий по решению вопросов местного значения муниципального района (городского округа),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бюджетных услуг в расчете на одного жителя.</w:t>
      </w:r>
      <w:proofErr w:type="gramEnd"/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Рассчитанные оценки расчетных расходов бюджета муниципального района (городского округа) используются для расчета индекса бюджетных расходов и сопоставления бюджетной обеспеченности в целях межбюджетного регулирования и выравнивания.</w:t>
      </w:r>
    </w:p>
    <w:p w:rsidR="00FD1AC6" w:rsidRPr="005C6822" w:rsidRDefault="00FD1AC6" w:rsidP="005C68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822">
        <w:rPr>
          <w:rFonts w:ascii="Times New Roman" w:hAnsi="Times New Roman" w:cs="Times New Roman"/>
          <w:sz w:val="28"/>
          <w:szCs w:val="28"/>
        </w:rPr>
        <w:t>Определение объема расчетных расходов муниципального района (городского округа) производится аналогично расчетам на очередной финансовый год экспертным путем с учетом уточненных макроэкономических показателей социально-экономического развития Российской Федерации и Республики Тыва на плановый период.</w:t>
      </w:r>
    </w:p>
    <w:p w:rsidR="00C70398" w:rsidRPr="005C6822" w:rsidRDefault="00C70398">
      <w:pPr>
        <w:rPr>
          <w:rFonts w:ascii="Times New Roman" w:hAnsi="Times New Roman" w:cs="Times New Roman"/>
          <w:sz w:val="28"/>
          <w:szCs w:val="28"/>
        </w:rPr>
      </w:pPr>
    </w:p>
    <w:sectPr w:rsidR="00C70398" w:rsidRPr="005C6822" w:rsidSect="00472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AC6"/>
    <w:rsid w:val="00337378"/>
    <w:rsid w:val="005C6822"/>
    <w:rsid w:val="00C70398"/>
    <w:rsid w:val="00FD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1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1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FD1AC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D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1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1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FD1AC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D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F1EBF43682E5639E444B60A2B50F121205E53BAF1DEC3CDC29AB19CF5C6173A504D753EBCD219F770216EEClB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Ошкулуг Айлана Арменовна</cp:lastModifiedBy>
  <cp:revision>2</cp:revision>
  <dcterms:created xsi:type="dcterms:W3CDTF">2017-11-01T14:37:00Z</dcterms:created>
  <dcterms:modified xsi:type="dcterms:W3CDTF">2017-11-01T14:56:00Z</dcterms:modified>
</cp:coreProperties>
</file>